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36" w:rsidRPr="00047FC9" w:rsidRDefault="004542F2" w:rsidP="00861E3E">
      <w:pPr>
        <w:autoSpaceDE w:val="0"/>
        <w:autoSpaceDN w:val="0"/>
        <w:adjustRightInd w:val="0"/>
        <w:spacing w:line="360" w:lineRule="auto"/>
        <w:ind w:left="4245"/>
        <w:rPr>
          <w:rFonts w:ascii="Garamond" w:hAnsi="Garamond"/>
          <w:b/>
          <w:bCs/>
          <w:color w:val="C45911" w:themeColor="accent2" w:themeShade="B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0" allowOverlap="0" wp14:anchorId="641B17DF" wp14:editId="7E6FB01B">
            <wp:simplePos x="0" y="0"/>
            <wp:positionH relativeFrom="column">
              <wp:posOffset>-445135</wp:posOffset>
            </wp:positionH>
            <wp:positionV relativeFrom="paragraph">
              <wp:posOffset>-643254</wp:posOffset>
            </wp:positionV>
            <wp:extent cx="1429052" cy="994410"/>
            <wp:effectExtent l="0" t="0" r="0" b="0"/>
            <wp:wrapNone/>
            <wp:docPr id="1" name="Image 1" descr="C:\Users\DANIEL_EYENGUE\Documents\CAUDEXCO\CAUDEXCO\LOGO f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_EYENGUE\Documents\CAUDEXCO\CAUDEXCO\LOGO fi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45" cy="101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FC9">
        <w:rPr>
          <w:rFonts w:ascii="Garamond" w:hAnsi="Garamond"/>
          <w:b/>
          <w:bCs/>
          <w:color w:val="C45911" w:themeColor="accent2" w:themeShade="BF"/>
          <w:sz w:val="24"/>
          <w:szCs w:val="24"/>
        </w:rPr>
        <w:t>« </w:t>
      </w:r>
      <w:r w:rsidR="00861E3E" w:rsidRPr="00861E3E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>ETUDE COMPLETE DES NOUVEAUTES DE LA</w:t>
      </w:r>
      <w:r w:rsidR="00FC7E36" w:rsidRPr="00861E3E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 xml:space="preserve"> </w:t>
      </w:r>
      <w:r w:rsidR="006D6511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>RÉFORME</w:t>
      </w:r>
      <w:r w:rsidR="00861E3E" w:rsidRPr="00861E3E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 xml:space="preserve"> DE L'ACTE UNIFORME</w:t>
      </w:r>
      <w:r w:rsidR="00861E3E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 xml:space="preserve"> RELATIF AU </w:t>
      </w:r>
      <w:r w:rsidR="00861E3E" w:rsidRPr="00861E3E">
        <w:rPr>
          <w:rFonts w:ascii="Garamond" w:hAnsi="Garamond"/>
          <w:b/>
          <w:bCs/>
          <w:color w:val="C45911" w:themeColor="accent2" w:themeShade="BF"/>
          <w:sz w:val="18"/>
          <w:szCs w:val="18"/>
        </w:rPr>
        <w:t>DROIT COMPTABLE ET À L’INFORMATION FINANCIÈRE &amp; AU SYSTÈME COMPTABLE OHADA APPLICABLE À COMPTER DU 1ER JANVIER 2018</w:t>
      </w:r>
      <w:r w:rsidR="00861E3E" w:rsidRPr="003E2D52">
        <w:rPr>
          <w:rFonts w:ascii="Garamond" w:hAnsi="Garamond"/>
          <w:b/>
          <w:bCs/>
          <w:color w:val="C45911" w:themeColor="accent2" w:themeShade="BF"/>
          <w:sz w:val="24"/>
          <w:szCs w:val="24"/>
        </w:rPr>
        <w:t> </w:t>
      </w:r>
      <w:r w:rsidRPr="00047FC9">
        <w:rPr>
          <w:rFonts w:ascii="Garamond" w:hAnsi="Garamond"/>
          <w:b/>
          <w:bCs/>
          <w:color w:val="C45911" w:themeColor="accent2" w:themeShade="BF"/>
          <w:sz w:val="24"/>
          <w:szCs w:val="24"/>
        </w:rPr>
        <w:t>»</w:t>
      </w:r>
    </w:p>
    <w:p w:rsidR="00FC7E36" w:rsidRPr="00FC7E36" w:rsidRDefault="004542F2" w:rsidP="004542F2">
      <w:p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55111C">
        <w:rPr>
          <w:rFonts w:ascii="Garamond" w:hAnsi="Garamond"/>
          <w:b/>
          <w:sz w:val="24"/>
          <w:szCs w:val="24"/>
        </w:rPr>
        <w:t xml:space="preserve"> </w:t>
      </w:r>
      <w:r w:rsidR="0055111C" w:rsidRPr="0055111C">
        <w:rPr>
          <w:rFonts w:ascii="Garamond" w:hAnsi="Garamond"/>
          <w:b/>
          <w:color w:val="2E74B5" w:themeColor="accent1" w:themeShade="BF"/>
          <w:sz w:val="24"/>
          <w:szCs w:val="24"/>
        </w:rPr>
        <w:t>A Libreville, l</w:t>
      </w:r>
      <w:r w:rsidR="00FC7E36" w:rsidRPr="003E2D52">
        <w:rPr>
          <w:rFonts w:ascii="Garamond" w:hAnsi="Garamond"/>
          <w:b/>
          <w:color w:val="0070C0"/>
          <w:sz w:val="24"/>
          <w:szCs w:val="24"/>
        </w:rPr>
        <w:t>e</w:t>
      </w:r>
      <w:r w:rsidR="003E2D52">
        <w:rPr>
          <w:rFonts w:ascii="Garamond" w:hAnsi="Garamond"/>
          <w:b/>
          <w:color w:val="0070C0"/>
          <w:sz w:val="24"/>
          <w:szCs w:val="24"/>
        </w:rPr>
        <w:t>s</w:t>
      </w:r>
      <w:r w:rsidR="00A91F9F">
        <w:rPr>
          <w:rFonts w:ascii="Garamond" w:hAnsi="Garamond"/>
          <w:b/>
          <w:color w:val="0070C0"/>
          <w:sz w:val="24"/>
          <w:szCs w:val="24"/>
        </w:rPr>
        <w:t xml:space="preserve"> 22 et 23 </w:t>
      </w:r>
      <w:r w:rsidR="00887162">
        <w:rPr>
          <w:rFonts w:ascii="Garamond" w:hAnsi="Garamond"/>
          <w:b/>
          <w:color w:val="0070C0"/>
          <w:sz w:val="24"/>
          <w:szCs w:val="24"/>
        </w:rPr>
        <w:t>novembre</w:t>
      </w:r>
      <w:r w:rsidR="006151CE">
        <w:rPr>
          <w:rFonts w:ascii="Garamond" w:hAnsi="Garamond"/>
          <w:b/>
          <w:color w:val="0070C0"/>
          <w:sz w:val="24"/>
          <w:szCs w:val="24"/>
        </w:rPr>
        <w:t xml:space="preserve"> </w:t>
      </w:r>
      <w:r w:rsidR="00887162">
        <w:rPr>
          <w:rFonts w:ascii="Garamond" w:hAnsi="Garamond"/>
          <w:b/>
          <w:color w:val="0070C0"/>
          <w:sz w:val="24"/>
          <w:szCs w:val="24"/>
        </w:rPr>
        <w:t xml:space="preserve">2017 de 8h30 </w:t>
      </w:r>
      <w:r w:rsidR="00945D64">
        <w:rPr>
          <w:rFonts w:ascii="Garamond" w:hAnsi="Garamond"/>
          <w:b/>
          <w:color w:val="0070C0"/>
          <w:sz w:val="24"/>
          <w:szCs w:val="24"/>
        </w:rPr>
        <w:t>à 17</w:t>
      </w:r>
      <w:r w:rsidR="00FC7E36" w:rsidRPr="003E2D52">
        <w:rPr>
          <w:rFonts w:ascii="Garamond" w:hAnsi="Garamond"/>
          <w:b/>
          <w:color w:val="0070C0"/>
          <w:sz w:val="24"/>
          <w:szCs w:val="24"/>
        </w:rPr>
        <w:t>h</w:t>
      </w:r>
    </w:p>
    <w:p w:rsidR="00FC7E36" w:rsidRPr="003E2D52" w:rsidRDefault="00FC7E36" w:rsidP="00FC7E36">
      <w:pPr>
        <w:pBdr>
          <w:bottom w:val="single" w:sz="4" w:space="1" w:color="auto"/>
        </w:pBdr>
        <w:jc w:val="both"/>
        <w:rPr>
          <w:rFonts w:ascii="Garamond" w:hAnsi="Garamond"/>
          <w:b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>OBJECTIFS </w:t>
      </w:r>
    </w:p>
    <w:p w:rsidR="00FC7E36" w:rsidRDefault="005E3DDB" w:rsidP="00FC7E36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Toutes les entreprises éligibles au nouveau référentiel </w:t>
      </w:r>
      <w:r w:rsidR="00FC7E36">
        <w:rPr>
          <w:rFonts w:ascii="Garamond" w:hAnsi="Garamond"/>
        </w:rPr>
        <w:t>comptable du 26 janvier 2017</w:t>
      </w:r>
      <w:r>
        <w:rPr>
          <w:rFonts w:ascii="Garamond" w:hAnsi="Garamond"/>
        </w:rPr>
        <w:t xml:space="preserve"> sont tenues de basculer leur comptabilité au SYSCOHADA REVISE à compter du 1</w:t>
      </w:r>
      <w:r w:rsidRPr="005E3DDB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janvier 2018. Or, ce nouveau référentiel apporte </w:t>
      </w:r>
      <w:r w:rsidR="00DD5493">
        <w:rPr>
          <w:rFonts w:ascii="Garamond" w:hAnsi="Garamond"/>
        </w:rPr>
        <w:t xml:space="preserve">des changements </w:t>
      </w:r>
      <w:r w:rsidR="004542F2">
        <w:rPr>
          <w:rFonts w:ascii="Garamond" w:hAnsi="Garamond"/>
        </w:rPr>
        <w:t>significatifs</w:t>
      </w:r>
      <w:r w:rsidR="00FC7E36" w:rsidRPr="00356C58">
        <w:rPr>
          <w:rFonts w:ascii="Garamond" w:hAnsi="Garamond"/>
        </w:rPr>
        <w:t xml:space="preserve"> dans son cadre no</w:t>
      </w:r>
      <w:r w:rsidR="00657937">
        <w:rPr>
          <w:rFonts w:ascii="Garamond" w:hAnsi="Garamond"/>
        </w:rPr>
        <w:t xml:space="preserve">rmatif, </w:t>
      </w:r>
      <w:r w:rsidR="00FC7E36">
        <w:rPr>
          <w:rFonts w:ascii="Garamond" w:hAnsi="Garamond"/>
        </w:rPr>
        <w:t>structure</w:t>
      </w:r>
      <w:r w:rsidR="00657937">
        <w:rPr>
          <w:rFonts w:ascii="Garamond" w:hAnsi="Garamond"/>
        </w:rPr>
        <w:t>l et</w:t>
      </w:r>
      <w:r w:rsidR="00FC7E36" w:rsidRPr="00356C58">
        <w:rPr>
          <w:rFonts w:ascii="Garamond" w:hAnsi="Garamond"/>
        </w:rPr>
        <w:t xml:space="preserve"> </w:t>
      </w:r>
      <w:r w:rsidR="00657937">
        <w:rPr>
          <w:rFonts w:ascii="Garamond" w:hAnsi="Garamond"/>
        </w:rPr>
        <w:t xml:space="preserve">dans le </w:t>
      </w:r>
      <w:r w:rsidR="00FC7E36" w:rsidRPr="00356C58">
        <w:rPr>
          <w:rFonts w:ascii="Garamond" w:hAnsi="Garamond"/>
        </w:rPr>
        <w:t>fonctionnement des comptes</w:t>
      </w:r>
      <w:r w:rsidR="00657937">
        <w:rPr>
          <w:rFonts w:ascii="Garamond" w:hAnsi="Garamond"/>
        </w:rPr>
        <w:t>,</w:t>
      </w:r>
      <w:r w:rsidR="001739AF">
        <w:rPr>
          <w:rFonts w:ascii="Garamond" w:hAnsi="Garamond"/>
        </w:rPr>
        <w:t xml:space="preserve"> d’une part, </w:t>
      </w:r>
      <w:r w:rsidR="00FC7E36" w:rsidRPr="00356C58">
        <w:rPr>
          <w:rFonts w:ascii="Garamond" w:hAnsi="Garamond"/>
        </w:rPr>
        <w:t xml:space="preserve">et </w:t>
      </w:r>
      <w:r w:rsidR="00FC7E36">
        <w:rPr>
          <w:rFonts w:ascii="Garamond" w:hAnsi="Garamond"/>
        </w:rPr>
        <w:t xml:space="preserve">dans </w:t>
      </w:r>
      <w:r w:rsidR="00FC7E36" w:rsidRPr="00356C58">
        <w:rPr>
          <w:rFonts w:ascii="Garamond" w:hAnsi="Garamond"/>
        </w:rPr>
        <w:t>la présentation des états financiers</w:t>
      </w:r>
      <w:r w:rsidR="00F76A46">
        <w:rPr>
          <w:rFonts w:ascii="Garamond" w:hAnsi="Garamond"/>
        </w:rPr>
        <w:t>,</w:t>
      </w:r>
      <w:r w:rsidR="00FC7E36">
        <w:rPr>
          <w:rFonts w:ascii="Garamond" w:hAnsi="Garamond"/>
        </w:rPr>
        <w:t xml:space="preserve"> d’autre part</w:t>
      </w:r>
      <w:r w:rsidR="00FC7E36" w:rsidRPr="00356C58">
        <w:rPr>
          <w:rFonts w:ascii="Garamond" w:hAnsi="Garamond"/>
        </w:rPr>
        <w:t xml:space="preserve">. </w:t>
      </w:r>
    </w:p>
    <w:p w:rsidR="00FC7E36" w:rsidRPr="00356C58" w:rsidRDefault="00FC7E36" w:rsidP="00FC7E36">
      <w:pPr>
        <w:spacing w:after="0" w:line="360" w:lineRule="auto"/>
        <w:jc w:val="both"/>
        <w:rPr>
          <w:rFonts w:ascii="Garamond" w:hAnsi="Garamond"/>
        </w:rPr>
      </w:pPr>
      <w:r w:rsidRPr="00356C58">
        <w:rPr>
          <w:rFonts w:ascii="Garamond" w:hAnsi="Garamond"/>
        </w:rPr>
        <w:t>A ce</w:t>
      </w:r>
      <w:r w:rsidR="005E3DDB">
        <w:rPr>
          <w:rFonts w:ascii="Garamond" w:hAnsi="Garamond"/>
        </w:rPr>
        <w:t>t effet, les Directeurs comptables et financiers/les Directeurs Administratifs et financiers/les chefs comptables/les comptables/les collaborateurs des services comptables/les auditeurs/les financiers/toute</w:t>
      </w:r>
      <w:r w:rsidR="006E4CA4">
        <w:rPr>
          <w:rFonts w:ascii="Garamond" w:hAnsi="Garamond"/>
        </w:rPr>
        <w:t>s</w:t>
      </w:r>
      <w:r w:rsidR="005E3DDB">
        <w:rPr>
          <w:rFonts w:ascii="Garamond" w:hAnsi="Garamond"/>
        </w:rPr>
        <w:t xml:space="preserve"> </w:t>
      </w:r>
      <w:r w:rsidR="006E4CA4">
        <w:rPr>
          <w:rFonts w:ascii="Garamond" w:hAnsi="Garamond"/>
        </w:rPr>
        <w:t xml:space="preserve">les </w:t>
      </w:r>
      <w:r w:rsidR="005E3DDB">
        <w:rPr>
          <w:rFonts w:ascii="Garamond" w:hAnsi="Garamond"/>
        </w:rPr>
        <w:t>personne</w:t>
      </w:r>
      <w:r w:rsidR="006E4CA4">
        <w:rPr>
          <w:rFonts w:ascii="Garamond" w:hAnsi="Garamond"/>
        </w:rPr>
        <w:t>s</w:t>
      </w:r>
      <w:r w:rsidR="005E3DDB">
        <w:rPr>
          <w:rFonts w:ascii="Garamond" w:hAnsi="Garamond"/>
        </w:rPr>
        <w:t xml:space="preserve"> en relation avec la comptabilité</w:t>
      </w:r>
      <w:r w:rsidRPr="00356C58">
        <w:rPr>
          <w:rFonts w:ascii="Garamond" w:hAnsi="Garamond"/>
        </w:rPr>
        <w:t xml:space="preserve"> se</w:t>
      </w:r>
      <w:r w:rsidR="009D222B">
        <w:rPr>
          <w:rFonts w:ascii="Garamond" w:hAnsi="Garamond"/>
        </w:rPr>
        <w:t xml:space="preserve"> doivent de maîtriser les innovations</w:t>
      </w:r>
      <w:r w:rsidRPr="00356C58">
        <w:rPr>
          <w:rFonts w:ascii="Garamond" w:hAnsi="Garamond"/>
        </w:rPr>
        <w:t xml:space="preserve"> </w:t>
      </w:r>
      <w:r w:rsidR="009D222B">
        <w:rPr>
          <w:rFonts w:ascii="Garamond" w:hAnsi="Garamond"/>
        </w:rPr>
        <w:t xml:space="preserve">du </w:t>
      </w:r>
      <w:r w:rsidRPr="00356C58">
        <w:rPr>
          <w:rFonts w:ascii="Garamond" w:hAnsi="Garamond"/>
        </w:rPr>
        <w:t>droit comptable</w:t>
      </w:r>
      <w:r w:rsidR="009D222B">
        <w:rPr>
          <w:rFonts w:ascii="Garamond" w:hAnsi="Garamond"/>
        </w:rPr>
        <w:t xml:space="preserve"> et du</w:t>
      </w:r>
      <w:r w:rsidR="00CE371D">
        <w:rPr>
          <w:rFonts w:ascii="Garamond" w:hAnsi="Garamond"/>
        </w:rPr>
        <w:t xml:space="preserve"> nouveau système comptable OHADA dans tous le</w:t>
      </w:r>
      <w:r w:rsidR="002A13CA">
        <w:rPr>
          <w:rFonts w:ascii="Garamond" w:hAnsi="Garamond"/>
        </w:rPr>
        <w:t xml:space="preserve">s </w:t>
      </w:r>
      <w:r w:rsidRPr="00356C58">
        <w:rPr>
          <w:rFonts w:ascii="Garamond" w:hAnsi="Garamond"/>
        </w:rPr>
        <w:t>aspects significatifs.</w:t>
      </w:r>
    </w:p>
    <w:p w:rsidR="00FC7E36" w:rsidRPr="00356C58" w:rsidRDefault="00FC7E36" w:rsidP="00FC7E36">
      <w:pPr>
        <w:spacing w:after="0" w:line="360" w:lineRule="auto"/>
        <w:jc w:val="both"/>
        <w:rPr>
          <w:rFonts w:ascii="Garamond" w:hAnsi="Garamond"/>
        </w:rPr>
      </w:pPr>
    </w:p>
    <w:p w:rsidR="00FC7E36" w:rsidRDefault="00FC7E36" w:rsidP="00FC7E36">
      <w:pPr>
        <w:spacing w:after="0" w:line="360" w:lineRule="auto"/>
        <w:jc w:val="both"/>
        <w:rPr>
          <w:rFonts w:ascii="Garamond" w:hAnsi="Garamond"/>
        </w:rPr>
      </w:pPr>
      <w:r w:rsidRPr="00356C58">
        <w:rPr>
          <w:rFonts w:ascii="Garamond" w:hAnsi="Garamond"/>
        </w:rPr>
        <w:t>Dans cette perspective, les résultats attendus par le séminaire de formation sont :</w:t>
      </w:r>
    </w:p>
    <w:p w:rsidR="00FC7E36" w:rsidRPr="00356C58" w:rsidRDefault="00FC7E36" w:rsidP="00FC7E36">
      <w:pPr>
        <w:spacing w:after="0" w:line="360" w:lineRule="auto"/>
        <w:jc w:val="both"/>
        <w:rPr>
          <w:rFonts w:ascii="Garamond" w:hAnsi="Garamond"/>
        </w:rPr>
      </w:pPr>
    </w:p>
    <w:p w:rsidR="00FC7E36" w:rsidRPr="00356C58" w:rsidRDefault="00657937" w:rsidP="00FC7E3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="00A96F9C">
        <w:rPr>
          <w:rFonts w:ascii="Garamond" w:hAnsi="Garamond"/>
          <w:b/>
        </w:rPr>
        <w:t>onnaî</w:t>
      </w:r>
      <w:r w:rsidR="0066677E">
        <w:rPr>
          <w:rFonts w:ascii="Garamond" w:hAnsi="Garamond"/>
          <w:b/>
        </w:rPr>
        <w:t xml:space="preserve">tre </w:t>
      </w:r>
      <w:r>
        <w:rPr>
          <w:rFonts w:ascii="Garamond" w:hAnsi="Garamond"/>
          <w:b/>
        </w:rPr>
        <w:t xml:space="preserve"> </w:t>
      </w:r>
    </w:p>
    <w:p w:rsidR="00FC7E36" w:rsidRPr="00356C58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356C58">
        <w:rPr>
          <w:rFonts w:ascii="Garamond" w:hAnsi="Garamond"/>
        </w:rPr>
        <w:t>Les bases concep</w:t>
      </w:r>
      <w:r>
        <w:rPr>
          <w:rFonts w:ascii="Garamond" w:hAnsi="Garamond"/>
        </w:rPr>
        <w:t>tuelles et les principes qui conditionnent</w:t>
      </w:r>
      <w:r w:rsidRPr="00356C58">
        <w:rPr>
          <w:rFonts w:ascii="Garamond" w:hAnsi="Garamond"/>
        </w:rPr>
        <w:t> </w:t>
      </w:r>
      <w:r>
        <w:rPr>
          <w:rFonts w:ascii="Garamond" w:hAnsi="Garamond"/>
        </w:rPr>
        <w:t xml:space="preserve">la qualité des états financiers selon le SYSCOHADA révisé </w:t>
      </w:r>
      <w:r w:rsidRPr="00356C58">
        <w:rPr>
          <w:rFonts w:ascii="Garamond" w:hAnsi="Garamond"/>
        </w:rPr>
        <w:t>;</w:t>
      </w:r>
    </w:p>
    <w:p w:rsidR="00FC7E36" w:rsidRPr="00356C58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356C58">
        <w:rPr>
          <w:rFonts w:ascii="Garamond" w:hAnsi="Garamond"/>
        </w:rPr>
        <w:t>Les règles de fonctionnement des comp</w:t>
      </w:r>
      <w:r>
        <w:rPr>
          <w:rFonts w:ascii="Garamond" w:hAnsi="Garamond"/>
        </w:rPr>
        <w:t>tes du  SYSC</w:t>
      </w:r>
      <w:r w:rsidRPr="00356C58">
        <w:rPr>
          <w:rFonts w:ascii="Garamond" w:hAnsi="Garamond"/>
        </w:rPr>
        <w:t>OHADA </w:t>
      </w:r>
      <w:r>
        <w:rPr>
          <w:rFonts w:ascii="Garamond" w:hAnsi="Garamond"/>
        </w:rPr>
        <w:t xml:space="preserve">révisé </w:t>
      </w:r>
      <w:r w:rsidRPr="00356C58">
        <w:rPr>
          <w:rFonts w:ascii="Garamond" w:hAnsi="Garamond"/>
        </w:rPr>
        <w:t>;</w:t>
      </w:r>
    </w:p>
    <w:p w:rsidR="00FC7E36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356C58">
        <w:rPr>
          <w:rFonts w:ascii="Garamond" w:hAnsi="Garamond"/>
        </w:rPr>
        <w:t>Les règles d’élaboratio</w:t>
      </w:r>
      <w:r w:rsidR="0066677E">
        <w:rPr>
          <w:rFonts w:ascii="Garamond" w:hAnsi="Garamond"/>
        </w:rPr>
        <w:t>n des nouveaux états financiers ;</w:t>
      </w:r>
    </w:p>
    <w:p w:rsidR="0066677E" w:rsidRPr="0066677E" w:rsidRDefault="0066677E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66677E">
        <w:rPr>
          <w:rFonts w:ascii="Garamond" w:hAnsi="Garamond"/>
        </w:rPr>
        <w:t>les innovations apportées par le SYSCOHADA REVISE</w:t>
      </w:r>
    </w:p>
    <w:p w:rsidR="00FC7E36" w:rsidRPr="00356C58" w:rsidRDefault="00FC7E36" w:rsidP="00FC7E36">
      <w:pPr>
        <w:spacing w:after="0" w:line="360" w:lineRule="auto"/>
        <w:jc w:val="both"/>
        <w:rPr>
          <w:rFonts w:ascii="Garamond" w:hAnsi="Garamond"/>
        </w:rPr>
      </w:pPr>
    </w:p>
    <w:p w:rsidR="00FC7E36" w:rsidRPr="00356C58" w:rsidRDefault="00FC7E36" w:rsidP="00FC7E3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</w:rPr>
      </w:pPr>
      <w:r w:rsidRPr="00356C58">
        <w:rPr>
          <w:rFonts w:ascii="Garamond" w:hAnsi="Garamond"/>
          <w:b/>
        </w:rPr>
        <w:t>Savoir faire</w:t>
      </w:r>
    </w:p>
    <w:p w:rsidR="00FC7E36" w:rsidRPr="004A189D" w:rsidRDefault="00FC7E36" w:rsidP="00FC7E36">
      <w:pPr>
        <w:spacing w:after="0" w:line="360" w:lineRule="auto"/>
        <w:jc w:val="both"/>
        <w:rPr>
          <w:rFonts w:ascii="Garamond" w:hAnsi="Garamond"/>
        </w:rPr>
      </w:pPr>
      <w:r w:rsidRPr="004A189D">
        <w:rPr>
          <w:rFonts w:ascii="Garamond" w:hAnsi="Garamond"/>
        </w:rPr>
        <w:t>A part</w:t>
      </w:r>
      <w:r>
        <w:rPr>
          <w:rFonts w:ascii="Garamond" w:hAnsi="Garamond"/>
        </w:rPr>
        <w:t>ir des cas pratiques</w:t>
      </w:r>
      <w:r w:rsidRPr="004A189D">
        <w:rPr>
          <w:rFonts w:ascii="Garamond" w:hAnsi="Garamond"/>
        </w:rPr>
        <w:t>, être capable</w:t>
      </w:r>
      <w:r>
        <w:rPr>
          <w:rFonts w:ascii="Garamond" w:hAnsi="Garamond"/>
        </w:rPr>
        <w:t xml:space="preserve"> de</w:t>
      </w:r>
      <w:r w:rsidRPr="004A189D">
        <w:rPr>
          <w:rFonts w:ascii="Garamond" w:hAnsi="Garamond"/>
        </w:rPr>
        <w:t> :</w:t>
      </w:r>
    </w:p>
    <w:p w:rsidR="00FC7E36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Produire </w:t>
      </w:r>
      <w:r w:rsidRPr="00356C58">
        <w:rPr>
          <w:rFonts w:ascii="Garamond" w:hAnsi="Garamond"/>
        </w:rPr>
        <w:t xml:space="preserve"> les états financiers</w:t>
      </w:r>
      <w:r>
        <w:rPr>
          <w:rFonts w:ascii="Garamond" w:hAnsi="Garamond"/>
        </w:rPr>
        <w:t xml:space="preserve"> fiables et conformes à la nouvelle réglementation du SYSCOHADA ;</w:t>
      </w:r>
    </w:p>
    <w:p w:rsidR="00FC7E36" w:rsidRPr="00356C58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Faire correctement le basculement au SYSCOHADA révisé, à la date du 1</w:t>
      </w:r>
      <w:r w:rsidRPr="004A189D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janvier 2018.</w:t>
      </w:r>
    </w:p>
    <w:p w:rsidR="00FC7E36" w:rsidRDefault="00FC7E36" w:rsidP="00FC7E36">
      <w:pPr>
        <w:pStyle w:val="Paragraphedeliste"/>
        <w:spacing w:after="0" w:line="360" w:lineRule="auto"/>
        <w:jc w:val="both"/>
      </w:pPr>
    </w:p>
    <w:p w:rsidR="00FC7E36" w:rsidRPr="003E2D52" w:rsidRDefault="00FC7E36" w:rsidP="00FC7E36">
      <w:pPr>
        <w:pBdr>
          <w:bottom w:val="single" w:sz="4" w:space="1" w:color="auto"/>
        </w:pBdr>
        <w:jc w:val="both"/>
        <w:rPr>
          <w:rFonts w:ascii="Garamond" w:hAnsi="Garamond"/>
          <w:b/>
          <w:color w:val="C45911" w:themeColor="accent2" w:themeShade="BF"/>
          <w:sz w:val="24"/>
          <w:szCs w:val="24"/>
        </w:rPr>
      </w:pPr>
      <w:r w:rsidRPr="003E2D52">
        <w:rPr>
          <w:rFonts w:ascii="Garamond" w:hAnsi="Garamond"/>
          <w:b/>
          <w:color w:val="C45911" w:themeColor="accent2" w:themeShade="BF"/>
          <w:sz w:val="24"/>
          <w:szCs w:val="24"/>
        </w:rPr>
        <w:t>PROGRAMME DE FORMATION</w:t>
      </w:r>
    </w:p>
    <w:p w:rsidR="00FC7E36" w:rsidRPr="00294010" w:rsidRDefault="00FC7E36" w:rsidP="00FC7E36">
      <w:pPr>
        <w:rPr>
          <w:rFonts w:ascii="Garamond" w:hAnsi="Garamond"/>
          <w:sz w:val="24"/>
          <w:szCs w:val="24"/>
        </w:rPr>
      </w:pPr>
    </w:p>
    <w:p w:rsidR="00FC7E36" w:rsidRPr="003E2D52" w:rsidRDefault="00FC7E36" w:rsidP="00FC7E36">
      <w:pPr>
        <w:spacing w:line="360" w:lineRule="auto"/>
        <w:jc w:val="both"/>
        <w:rPr>
          <w:rFonts w:ascii="Garamond" w:hAnsi="Garamond"/>
          <w:b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>Module 1: Droit comptable OHADA et cadre conceptuel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1: Acte uniforme relatif au droit comptable et à l'information financière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2: Cadre conceptuel et champ d'application du SYSCOHADA révisé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lastRenderedPageBreak/>
        <w:t>Section 3: Hypothèses de base et principes comptables fondamentaux du SYSCOHADA révisé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4: Caractéristiques qualitatives de l'information financière et définitions</w:t>
      </w:r>
    </w:p>
    <w:p w:rsidR="00FC7E36" w:rsidRPr="003E2D52" w:rsidRDefault="00FC7E36" w:rsidP="00FC7E36">
      <w:pPr>
        <w:spacing w:line="360" w:lineRule="auto"/>
        <w:jc w:val="both"/>
        <w:rPr>
          <w:rFonts w:ascii="Garamond" w:hAnsi="Garamond"/>
          <w:b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>Module 2: Modifications et innovations introduites par la réforme aux comptes de bilan et de gestion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1: Objectifs et principes</w:t>
      </w:r>
      <w:r>
        <w:rPr>
          <w:rFonts w:ascii="Garamond" w:hAnsi="Garamond"/>
        </w:rPr>
        <w:t xml:space="preserve"> généraux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2 : Modifications apportées aux comptes du bilan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3 : Modifications apportées aux comptes de gestion</w:t>
      </w:r>
    </w:p>
    <w:p w:rsidR="00FC7E36" w:rsidRPr="003E2D52" w:rsidRDefault="00FC7E36" w:rsidP="00FC7E36">
      <w:pPr>
        <w:spacing w:line="360" w:lineRule="auto"/>
        <w:jc w:val="both"/>
        <w:rPr>
          <w:rFonts w:ascii="Garamond" w:hAnsi="Garamond"/>
          <w:b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>Module 3: Modifications et innovations apportées aux états financiers annuels individuels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1 : Objectifs et structure des états financiers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2 : Règles générales de présentation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3 : Modifications et innovations apportées aux états financiers annuels du système normal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4 : Modifications et innovations apportées aux états financiers annuels du système minimal de trésorerie (SMT)</w:t>
      </w:r>
    </w:p>
    <w:p w:rsidR="00FC7E36" w:rsidRPr="003E2D52" w:rsidRDefault="00FC7E36" w:rsidP="00FC7E36">
      <w:pPr>
        <w:spacing w:line="360" w:lineRule="auto"/>
        <w:jc w:val="both"/>
        <w:rPr>
          <w:rFonts w:ascii="Garamond" w:hAnsi="Garamond"/>
          <w:b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>Module 4 : Basculement au SYSCOHADA révisé à la date du 1er janvier 2018</w:t>
      </w:r>
    </w:p>
    <w:p w:rsidR="00FC7E36" w:rsidRPr="00036FCA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>Section 1 :</w:t>
      </w:r>
      <w:r>
        <w:rPr>
          <w:rFonts w:ascii="Garamond" w:hAnsi="Garamond"/>
        </w:rPr>
        <w:t xml:space="preserve"> Principes de base à respecter</w:t>
      </w:r>
    </w:p>
    <w:p w:rsidR="00FC7E36" w:rsidRDefault="00FC7E36" w:rsidP="00FC7E36">
      <w:pPr>
        <w:spacing w:line="360" w:lineRule="auto"/>
        <w:jc w:val="both"/>
        <w:rPr>
          <w:rFonts w:ascii="Garamond" w:hAnsi="Garamond"/>
        </w:rPr>
      </w:pPr>
      <w:r w:rsidRPr="00036FCA">
        <w:rPr>
          <w:rFonts w:ascii="Garamond" w:hAnsi="Garamond"/>
        </w:rPr>
        <w:t xml:space="preserve">Section 2 : </w:t>
      </w:r>
      <w:r>
        <w:rPr>
          <w:rFonts w:ascii="Garamond" w:hAnsi="Garamond"/>
        </w:rPr>
        <w:t>Mise en œuvre pratique</w:t>
      </w:r>
    </w:p>
    <w:p w:rsidR="00FC7E36" w:rsidRPr="003E2D52" w:rsidRDefault="00FC7E36" w:rsidP="00FC7E36">
      <w:pPr>
        <w:pBdr>
          <w:bottom w:val="single" w:sz="4" w:space="1" w:color="auto"/>
        </w:pBdr>
        <w:spacing w:after="0" w:line="360" w:lineRule="auto"/>
        <w:jc w:val="both"/>
        <w:rPr>
          <w:rFonts w:ascii="Garamond" w:hAnsi="Garamond"/>
          <w:color w:val="C45911" w:themeColor="accent2" w:themeShade="BF"/>
        </w:rPr>
      </w:pPr>
      <w:r w:rsidRPr="003E2D52">
        <w:rPr>
          <w:rFonts w:ascii="Garamond" w:hAnsi="Garamond"/>
          <w:b/>
          <w:color w:val="C45911" w:themeColor="accent2" w:themeShade="BF"/>
        </w:rPr>
        <w:t xml:space="preserve">ANIMATEURS </w:t>
      </w:r>
    </w:p>
    <w:p w:rsidR="00FC7E36" w:rsidRPr="00FC7E36" w:rsidRDefault="00FC7E36" w:rsidP="00FC7E36">
      <w:pPr>
        <w:pStyle w:val="Paragraphedeliste"/>
        <w:spacing w:after="0" w:line="360" w:lineRule="auto"/>
        <w:jc w:val="both"/>
        <w:rPr>
          <w:rFonts w:ascii="Garamond" w:hAnsi="Garamond"/>
        </w:rPr>
      </w:pPr>
    </w:p>
    <w:p w:rsidR="00FC7E36" w:rsidRPr="00356C58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3E2D52">
        <w:rPr>
          <w:rFonts w:ascii="Garamond" w:hAnsi="Garamond"/>
          <w:b/>
          <w:color w:val="0070C0"/>
        </w:rPr>
        <w:t>Pr. Hervé NDOUME ESSINGONE</w:t>
      </w:r>
      <w:r w:rsidRPr="00356C58">
        <w:rPr>
          <w:rFonts w:ascii="Garamond" w:hAnsi="Garamond"/>
        </w:rPr>
        <w:t>, Agrégé  des universités en science de gestion, Enseignant de Finance à l'INSG, Président du Conseil Scientifique et Pédagogique de l'INSG. Ancien DG de l'INSG et  de  BGFI Business School.</w:t>
      </w:r>
    </w:p>
    <w:p w:rsidR="00FC7E36" w:rsidRPr="00356C58" w:rsidRDefault="00FC7E36" w:rsidP="00FC7E36">
      <w:pPr>
        <w:pStyle w:val="Paragraphedeliste"/>
        <w:rPr>
          <w:rFonts w:ascii="Garamond" w:hAnsi="Garamond"/>
        </w:rPr>
      </w:pPr>
    </w:p>
    <w:p w:rsidR="00FC7E36" w:rsidRPr="00356C58" w:rsidRDefault="00FC7E36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 w:rsidRPr="003E2D52">
        <w:rPr>
          <w:rFonts w:ascii="Garamond" w:hAnsi="Garamond"/>
          <w:b/>
          <w:color w:val="0070C0"/>
        </w:rPr>
        <w:t>Gaston Roger ANGUILE NTOKE</w:t>
      </w:r>
      <w:r>
        <w:rPr>
          <w:rFonts w:ascii="Garamond" w:hAnsi="Garamond"/>
        </w:rPr>
        <w:t>, Expert-Comptable diplômé, plus de vingt ans d’expérience professio</w:t>
      </w:r>
      <w:r w:rsidR="00887162">
        <w:rPr>
          <w:rFonts w:ascii="Garamond" w:hAnsi="Garamond"/>
        </w:rPr>
        <w:t xml:space="preserve">nnelle en révision comptable, </w:t>
      </w:r>
      <w:r>
        <w:rPr>
          <w:rFonts w:ascii="Garamond" w:hAnsi="Garamond"/>
        </w:rPr>
        <w:t>enseignant-chercheur associé à l’Ecole Nationale d’Administration (ENA) du Gabon</w:t>
      </w:r>
      <w:r w:rsidRPr="00356C58">
        <w:rPr>
          <w:rFonts w:ascii="Garamond" w:hAnsi="Garamond"/>
        </w:rPr>
        <w:t xml:space="preserve"> </w:t>
      </w:r>
      <w:r w:rsidR="00887162">
        <w:rPr>
          <w:rFonts w:ascii="Garamond" w:hAnsi="Garamond"/>
        </w:rPr>
        <w:t>et ancien analyste business chez International Consulting Group en France.</w:t>
      </w:r>
    </w:p>
    <w:p w:rsidR="0087397A" w:rsidRDefault="0087397A" w:rsidP="00FC7E36">
      <w:pPr>
        <w:pStyle w:val="Paragraphedeliste"/>
        <w:rPr>
          <w:rFonts w:ascii="Garamond" w:hAnsi="Garamond"/>
        </w:rPr>
      </w:pPr>
    </w:p>
    <w:p w:rsidR="00FC7E36" w:rsidRPr="00FC7E36" w:rsidRDefault="003E2D52" w:rsidP="00FC7E3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b/>
          <w:color w:val="FF0000"/>
        </w:rPr>
      </w:pPr>
      <w:r>
        <w:rPr>
          <w:rFonts w:ascii="Garamond" w:hAnsi="Garamond"/>
          <w:b/>
          <w:color w:val="0070C0"/>
        </w:rPr>
        <w:t xml:space="preserve">Eric </w:t>
      </w:r>
      <w:r w:rsidR="00FC7E36" w:rsidRPr="003E2D52">
        <w:rPr>
          <w:rFonts w:ascii="Garamond" w:hAnsi="Garamond"/>
          <w:b/>
          <w:color w:val="0070C0"/>
        </w:rPr>
        <w:t>MONLANDJO</w:t>
      </w:r>
      <w:r w:rsidR="00FC7E36" w:rsidRPr="003E2D52">
        <w:rPr>
          <w:rFonts w:ascii="Garamond" w:hAnsi="Garamond"/>
          <w:color w:val="0070C0"/>
        </w:rPr>
        <w:t xml:space="preserve">, </w:t>
      </w:r>
      <w:r w:rsidR="00FC7E36" w:rsidRPr="00FC7E36">
        <w:rPr>
          <w:rFonts w:ascii="Garamond" w:hAnsi="Garamond"/>
        </w:rPr>
        <w:t>Expert</w:t>
      </w:r>
      <w:r w:rsidR="0087397A">
        <w:rPr>
          <w:rFonts w:ascii="Garamond" w:hAnsi="Garamond"/>
        </w:rPr>
        <w:t xml:space="preserve">-Comptable </w:t>
      </w:r>
      <w:r w:rsidR="004542F2">
        <w:rPr>
          <w:rFonts w:ascii="Garamond" w:hAnsi="Garamond"/>
        </w:rPr>
        <w:t xml:space="preserve">diplômé, (Bénin) dix-huit </w:t>
      </w:r>
      <w:r w:rsidR="00FC7E36" w:rsidRPr="00FC7E36">
        <w:rPr>
          <w:rFonts w:ascii="Garamond" w:hAnsi="Garamond"/>
        </w:rPr>
        <w:t>ans d’expérience professionnelle en expertise comptable, audit et animation des séminaires de formation.</w:t>
      </w:r>
    </w:p>
    <w:p w:rsidR="00FC7E36" w:rsidRDefault="00FC7E36" w:rsidP="000A667D">
      <w:pPr>
        <w:spacing w:after="0" w:line="360" w:lineRule="auto"/>
        <w:jc w:val="both"/>
      </w:pPr>
    </w:p>
    <w:p w:rsidR="00B23035" w:rsidRPr="00235D87" w:rsidRDefault="00235D87" w:rsidP="00235D87">
      <w:pPr>
        <w:pBdr>
          <w:bottom w:val="single" w:sz="4" w:space="1" w:color="auto"/>
        </w:pBdr>
        <w:spacing w:after="0" w:line="360" w:lineRule="auto"/>
        <w:jc w:val="both"/>
        <w:rPr>
          <w:rFonts w:ascii="Garamond" w:hAnsi="Garamond"/>
          <w:b/>
          <w:color w:val="C45911" w:themeColor="accent2" w:themeShade="BF"/>
        </w:rPr>
      </w:pPr>
      <w:r w:rsidRPr="00235D87">
        <w:rPr>
          <w:rFonts w:ascii="Garamond" w:hAnsi="Garamond"/>
          <w:b/>
          <w:color w:val="C45911" w:themeColor="accent2" w:themeShade="BF"/>
        </w:rPr>
        <w:t xml:space="preserve">INFORMATION </w:t>
      </w:r>
    </w:p>
    <w:p w:rsidR="00235D87" w:rsidRPr="004620E1" w:rsidRDefault="00235D87" w:rsidP="000A667D">
      <w:pPr>
        <w:spacing w:after="0" w:line="360" w:lineRule="auto"/>
        <w:jc w:val="both"/>
        <w:rPr>
          <w:rFonts w:ascii="Garamond" w:hAnsi="Garamond"/>
        </w:rPr>
      </w:pPr>
      <w:r w:rsidRPr="004620E1">
        <w:rPr>
          <w:rFonts w:ascii="Garamond" w:hAnsi="Garamond"/>
        </w:rPr>
        <w:t>Chaque participant à la formation aura droit à la liste complète des co</w:t>
      </w:r>
      <w:r w:rsidR="00C2096B">
        <w:rPr>
          <w:rFonts w:ascii="Garamond" w:hAnsi="Garamond"/>
        </w:rPr>
        <w:t>mptes selon le SYSCOHADA REVISE-– l</w:t>
      </w:r>
      <w:r w:rsidRPr="004620E1">
        <w:rPr>
          <w:rFonts w:ascii="Garamond" w:hAnsi="Garamond"/>
        </w:rPr>
        <w:t>es états financiers selon la nouvelle présentation – les tableaux de correspondance, postes/comptes</w:t>
      </w:r>
      <w:r w:rsidR="00544A4C" w:rsidRPr="004620E1">
        <w:rPr>
          <w:rFonts w:ascii="Garamond" w:hAnsi="Garamond"/>
        </w:rPr>
        <w:t>.</w:t>
      </w:r>
    </w:p>
    <w:p w:rsidR="00B23035" w:rsidRPr="00F4265F" w:rsidRDefault="0087397A" w:rsidP="00B23035">
      <w:pPr>
        <w:spacing w:after="0" w:line="360" w:lineRule="auto"/>
        <w:jc w:val="center"/>
        <w:rPr>
          <w:rFonts w:ascii="Baskerville Old Face" w:eastAsia="Times New Roman" w:hAnsi="Baskerville Old Face" w:cs="Tahoma"/>
          <w:b/>
          <w:bCs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0" allowOverlap="0" wp14:anchorId="641B17DF" wp14:editId="7E6FB01B">
            <wp:simplePos x="0" y="0"/>
            <wp:positionH relativeFrom="column">
              <wp:posOffset>-578485</wp:posOffset>
            </wp:positionH>
            <wp:positionV relativeFrom="paragraph">
              <wp:posOffset>-548005</wp:posOffset>
            </wp:positionV>
            <wp:extent cx="1485900" cy="1033967"/>
            <wp:effectExtent l="0" t="0" r="0" b="0"/>
            <wp:wrapNone/>
            <wp:docPr id="4" name="Image 1" descr="C:\Users\DANIEL_EYENGUE\Documents\CAUDEXCO\CAUDEXCO\LOGO f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_EYENGUE\Documents\CAUDEXCO\CAUDEXCO\LOGO fi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50" cy="104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2F2">
        <w:rPr>
          <w:rFonts w:ascii="Verdana" w:eastAsia="Times New Roman" w:hAnsi="Verdana" w:cs="Tahoma"/>
          <w:b/>
          <w:bCs/>
          <w:sz w:val="28"/>
          <w:szCs w:val="28"/>
          <w:lang w:eastAsia="fr-FR"/>
        </w:rPr>
        <w:t xml:space="preserve">                              </w:t>
      </w:r>
      <w:r w:rsidR="00B23035" w:rsidRPr="001C45A1">
        <w:rPr>
          <w:rFonts w:ascii="Verdana" w:eastAsia="Times New Roman" w:hAnsi="Verdana" w:cs="Tahoma"/>
          <w:b/>
          <w:bCs/>
          <w:sz w:val="28"/>
          <w:szCs w:val="28"/>
          <w:u w:val="single"/>
          <w:lang w:eastAsia="fr-FR"/>
        </w:rPr>
        <w:t>BULLETIN D’INSCRIPTION</w:t>
      </w:r>
    </w:p>
    <w:p w:rsidR="00B23035" w:rsidRPr="006151CE" w:rsidRDefault="003E2D52" w:rsidP="00B319CE">
      <w:pPr>
        <w:spacing w:after="0" w:line="360" w:lineRule="auto"/>
        <w:ind w:left="3540"/>
        <w:rPr>
          <w:rFonts w:ascii="Tahoma" w:eastAsia="Times New Roman" w:hAnsi="Tahoma" w:cs="Tahoma"/>
          <w:b/>
          <w:bCs/>
          <w:lang w:eastAsia="fr-FR"/>
        </w:rPr>
      </w:pPr>
      <w:r w:rsidRPr="006151CE">
        <w:rPr>
          <w:rFonts w:ascii="Tahoma" w:eastAsia="Times New Roman" w:hAnsi="Tahoma" w:cs="Tahoma"/>
          <w:b/>
          <w:bCs/>
          <w:lang w:eastAsia="fr-FR"/>
        </w:rPr>
        <w:t xml:space="preserve"> </w:t>
      </w:r>
      <w:r w:rsidR="006151CE">
        <w:rPr>
          <w:rFonts w:ascii="Tahoma" w:eastAsia="Times New Roman" w:hAnsi="Tahoma" w:cs="Tahoma"/>
          <w:b/>
          <w:bCs/>
          <w:lang w:eastAsia="fr-FR"/>
        </w:rPr>
        <w:t>(</w:t>
      </w:r>
      <w:r w:rsidR="00887162">
        <w:rPr>
          <w:rFonts w:ascii="Tahoma" w:eastAsia="Times New Roman" w:hAnsi="Tahoma" w:cs="Tahoma"/>
          <w:b/>
          <w:bCs/>
          <w:lang w:eastAsia="fr-FR"/>
        </w:rPr>
        <w:t xml:space="preserve">A retourner au plus tard le </w:t>
      </w:r>
      <w:r w:rsidR="00A91F9F">
        <w:rPr>
          <w:rFonts w:ascii="Tahoma" w:eastAsia="Times New Roman" w:hAnsi="Tahoma" w:cs="Tahoma"/>
          <w:b/>
          <w:bCs/>
          <w:lang w:eastAsia="fr-FR"/>
        </w:rPr>
        <w:t>15</w:t>
      </w:r>
      <w:r w:rsidR="006151CE" w:rsidRPr="006151CE">
        <w:rPr>
          <w:rFonts w:ascii="Tahoma" w:eastAsia="Times New Roman" w:hAnsi="Tahoma" w:cs="Tahoma"/>
          <w:b/>
          <w:bCs/>
          <w:lang w:eastAsia="fr-FR"/>
        </w:rPr>
        <w:t xml:space="preserve"> </w:t>
      </w:r>
      <w:r w:rsidR="00887162">
        <w:rPr>
          <w:rFonts w:ascii="Tahoma" w:eastAsia="Times New Roman" w:hAnsi="Tahoma" w:cs="Tahoma"/>
          <w:b/>
          <w:bCs/>
          <w:lang w:eastAsia="fr-FR"/>
        </w:rPr>
        <w:t>Novembre</w:t>
      </w:r>
      <w:r w:rsidR="003D5613" w:rsidRPr="006151CE">
        <w:rPr>
          <w:rFonts w:ascii="Tahoma" w:eastAsia="Times New Roman" w:hAnsi="Tahoma" w:cs="Tahoma"/>
          <w:b/>
          <w:bCs/>
          <w:lang w:eastAsia="fr-FR"/>
        </w:rPr>
        <w:t xml:space="preserve"> 2017</w:t>
      </w:r>
      <w:r w:rsidR="00B319CE" w:rsidRPr="006151CE">
        <w:rPr>
          <w:rFonts w:ascii="Tahoma" w:eastAsia="Times New Roman" w:hAnsi="Tahoma" w:cs="Tahoma"/>
          <w:b/>
          <w:bCs/>
          <w:lang w:eastAsia="fr-FR"/>
        </w:rPr>
        <w:t>)</w:t>
      </w:r>
      <w:r w:rsidR="003D5613" w:rsidRPr="006151CE">
        <w:rPr>
          <w:rFonts w:ascii="Tahoma" w:eastAsia="Times New Roman" w:hAnsi="Tahoma" w:cs="Tahoma"/>
          <w:b/>
          <w:bCs/>
          <w:lang w:eastAsia="fr-FR"/>
        </w:rPr>
        <w:t xml:space="preserve"> </w:t>
      </w:r>
    </w:p>
    <w:p w:rsidR="004542F2" w:rsidRDefault="003D5613" w:rsidP="003D5613">
      <w:pPr>
        <w:tabs>
          <w:tab w:val="left" w:pos="1725"/>
        </w:tabs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fr-FR"/>
        </w:rPr>
        <w:tab/>
      </w:r>
    </w:p>
    <w:p w:rsidR="004542F2" w:rsidRPr="00F4265F" w:rsidRDefault="004542F2" w:rsidP="00B23035">
      <w:pPr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fr-FR"/>
        </w:rPr>
      </w:pPr>
    </w:p>
    <w:p w:rsidR="004620E1" w:rsidRDefault="004620E1" w:rsidP="00B23035">
      <w:pPr>
        <w:spacing w:after="0" w:line="360" w:lineRule="auto"/>
        <w:rPr>
          <w:rFonts w:ascii="Garamond" w:eastAsia="Times New Roman" w:hAnsi="Garamond" w:cs="Tahoma"/>
          <w:b/>
          <w:bCs/>
          <w:sz w:val="18"/>
          <w:szCs w:val="18"/>
          <w:u w:val="single"/>
          <w:lang w:eastAsia="fr-FR"/>
        </w:rPr>
      </w:pPr>
    </w:p>
    <w:p w:rsidR="004620E1" w:rsidRDefault="004620E1" w:rsidP="00B23035">
      <w:pPr>
        <w:spacing w:after="0" w:line="360" w:lineRule="auto"/>
        <w:rPr>
          <w:rFonts w:ascii="Garamond" w:eastAsia="Times New Roman" w:hAnsi="Garamond" w:cs="Tahoma"/>
          <w:b/>
          <w:bCs/>
          <w:sz w:val="18"/>
          <w:szCs w:val="18"/>
          <w:u w:val="single"/>
          <w:lang w:eastAsia="fr-FR"/>
        </w:rPr>
      </w:pPr>
    </w:p>
    <w:p w:rsidR="00B23035" w:rsidRPr="00C11C45" w:rsidRDefault="00B23035" w:rsidP="00B23035">
      <w:pPr>
        <w:spacing w:after="0" w:line="360" w:lineRule="auto"/>
        <w:rPr>
          <w:rFonts w:ascii="Garamond" w:eastAsia="Times New Roman" w:hAnsi="Garamond" w:cs="Tahoma"/>
          <w:b/>
          <w:bCs/>
          <w:sz w:val="18"/>
          <w:szCs w:val="18"/>
          <w:lang w:eastAsia="fr-FR"/>
        </w:rPr>
      </w:pPr>
      <w:r w:rsidRPr="00C11C45">
        <w:rPr>
          <w:rFonts w:ascii="Garamond" w:eastAsia="Times New Roman" w:hAnsi="Garamond" w:cs="Tahoma"/>
          <w:b/>
          <w:bCs/>
          <w:sz w:val="18"/>
          <w:szCs w:val="18"/>
          <w:u w:val="single"/>
          <w:lang w:eastAsia="fr-FR"/>
        </w:rPr>
        <w:t>ENTREPRISE OU ORGANISME</w:t>
      </w:r>
    </w:p>
    <w:p w:rsidR="00B23035" w:rsidRPr="00C11C45" w:rsidRDefault="00B23035" w:rsidP="00B23035">
      <w:pPr>
        <w:spacing w:after="0" w:line="360" w:lineRule="auto"/>
        <w:rPr>
          <w:rFonts w:ascii="Garamond" w:eastAsia="Times New Roman" w:hAnsi="Garamond" w:cs="Tahoma"/>
          <w:b/>
          <w:bCs/>
          <w:sz w:val="18"/>
          <w:szCs w:val="18"/>
          <w:lang w:eastAsia="fr-FR"/>
        </w:rPr>
      </w:pPr>
    </w:p>
    <w:p w:rsidR="00B23035" w:rsidRPr="00C11C45" w:rsidRDefault="00B23035" w:rsidP="00B23035">
      <w:pPr>
        <w:spacing w:after="0" w:line="360" w:lineRule="auto"/>
        <w:rPr>
          <w:rFonts w:ascii="Garamond" w:eastAsia="Times New Roman" w:hAnsi="Garamond" w:cs="Tahoma"/>
          <w:b/>
          <w:bCs/>
          <w:sz w:val="18"/>
          <w:szCs w:val="18"/>
          <w:lang w:eastAsia="fr-FR"/>
        </w:rPr>
      </w:pPr>
      <w:r w:rsidRPr="00C11C45"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>Raison sociale :</w:t>
      </w:r>
      <w:r w:rsidRPr="00C11C45">
        <w:rPr>
          <w:rFonts w:ascii="Garamond" w:eastAsia="Times New Roman" w:hAnsi="Garamond" w:cs="Tahoma"/>
          <w:sz w:val="18"/>
          <w:szCs w:val="18"/>
          <w:lang w:eastAsia="fr-FR"/>
        </w:rPr>
        <w:t xml:space="preserve"> ………………………</w:t>
      </w:r>
      <w:r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………………………………………………………………</w:t>
      </w:r>
      <w:r w:rsidRPr="00C11C45"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</w:t>
      </w:r>
    </w:p>
    <w:p w:rsidR="00B23035" w:rsidRPr="00C11C45" w:rsidRDefault="00B23035" w:rsidP="00B23035">
      <w:pPr>
        <w:spacing w:after="0" w:line="360" w:lineRule="auto"/>
        <w:rPr>
          <w:rFonts w:ascii="Garamond" w:eastAsia="Times New Roman" w:hAnsi="Garamond" w:cs="Tahoma"/>
          <w:sz w:val="18"/>
          <w:szCs w:val="18"/>
          <w:lang w:eastAsia="fr-FR"/>
        </w:rPr>
      </w:pPr>
      <w:r w:rsidRPr="00C11C45"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 xml:space="preserve">Boîte postale : </w:t>
      </w:r>
      <w:r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</w:t>
      </w:r>
      <w:r w:rsidRPr="00C11C45">
        <w:rPr>
          <w:rFonts w:ascii="Garamond" w:eastAsia="Times New Roman" w:hAnsi="Garamond" w:cs="Tahoma"/>
          <w:sz w:val="18"/>
          <w:szCs w:val="18"/>
          <w:lang w:eastAsia="fr-FR"/>
        </w:rPr>
        <w:t>…….T</w:t>
      </w:r>
      <w:r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 xml:space="preserve">él </w:t>
      </w:r>
      <w:r w:rsidRPr="00C11C45"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 xml:space="preserve"> : </w:t>
      </w:r>
      <w:r w:rsidRPr="00C11C45"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……………………………………………F</w:t>
      </w:r>
      <w:r w:rsidRPr="00C11C45"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>ax : …</w:t>
      </w:r>
      <w:r>
        <w:rPr>
          <w:rFonts w:ascii="Garamond" w:eastAsia="Times New Roman" w:hAnsi="Garamond" w:cs="Tahoma"/>
          <w:sz w:val="18"/>
          <w:szCs w:val="18"/>
          <w:lang w:eastAsia="fr-FR"/>
        </w:rPr>
        <w:t>…………………..….</w:t>
      </w:r>
    </w:p>
    <w:p w:rsidR="00B23035" w:rsidRPr="00C11C45" w:rsidRDefault="00B23035" w:rsidP="00B23035">
      <w:pPr>
        <w:spacing w:after="0" w:line="360" w:lineRule="auto"/>
        <w:rPr>
          <w:rFonts w:ascii="Garamond" w:eastAsia="Times New Roman" w:hAnsi="Garamond" w:cs="Tahoma"/>
          <w:sz w:val="18"/>
          <w:szCs w:val="18"/>
          <w:lang w:eastAsia="fr-FR"/>
        </w:rPr>
      </w:pPr>
      <w:r w:rsidRPr="00C11C45">
        <w:rPr>
          <w:rFonts w:ascii="Garamond" w:eastAsia="Times New Roman" w:hAnsi="Garamond" w:cs="Tahoma"/>
          <w:b/>
          <w:bCs/>
          <w:sz w:val="18"/>
          <w:szCs w:val="18"/>
          <w:lang w:eastAsia="fr-FR"/>
        </w:rPr>
        <w:t xml:space="preserve">E-mail : </w:t>
      </w:r>
      <w:r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………………………………………</w:t>
      </w:r>
      <w:r w:rsidRPr="00C11C45">
        <w:rPr>
          <w:rFonts w:ascii="Garamond" w:eastAsia="Times New Roman" w:hAnsi="Garamond" w:cs="Tahoma"/>
          <w:sz w:val="18"/>
          <w:szCs w:val="18"/>
          <w:lang w:eastAsia="fr-FR"/>
        </w:rPr>
        <w:t>…</w:t>
      </w:r>
      <w:r>
        <w:rPr>
          <w:rFonts w:ascii="Garamond" w:eastAsia="Times New Roman" w:hAnsi="Garamond" w:cs="Tahoma"/>
          <w:sz w:val="18"/>
          <w:szCs w:val="18"/>
          <w:lang w:eastAsia="fr-FR"/>
        </w:rPr>
        <w:t>……………………………………………………………………………...</w:t>
      </w:r>
    </w:p>
    <w:p w:rsidR="004542F2" w:rsidRPr="00C11C45" w:rsidRDefault="004542F2" w:rsidP="00B23035">
      <w:pPr>
        <w:spacing w:after="0" w:line="240" w:lineRule="auto"/>
        <w:rPr>
          <w:rFonts w:ascii="Garamond" w:eastAsia="Times New Roman" w:hAnsi="Garamond" w:cs="Tahoma"/>
          <w:b/>
          <w:bCs/>
          <w:sz w:val="18"/>
          <w:szCs w:val="18"/>
          <w:lang w:eastAsia="fr-FR"/>
        </w:rPr>
      </w:pPr>
    </w:p>
    <w:p w:rsidR="00B23035" w:rsidRPr="00C11C45" w:rsidRDefault="00B23035" w:rsidP="00B23035">
      <w:pPr>
        <w:spacing w:after="0" w:line="240" w:lineRule="auto"/>
        <w:rPr>
          <w:rFonts w:ascii="Garamond" w:eastAsia="Times New Roman" w:hAnsi="Garamond" w:cs="Tahoma"/>
          <w:b/>
          <w:bCs/>
          <w:sz w:val="18"/>
          <w:szCs w:val="18"/>
          <w:lang w:eastAsia="fr-FR"/>
        </w:rPr>
      </w:pPr>
      <w:r w:rsidRPr="00C11C45">
        <w:rPr>
          <w:rFonts w:ascii="Garamond" w:eastAsia="Times New Roman" w:hAnsi="Garamond" w:cs="Tahoma"/>
          <w:b/>
          <w:bCs/>
          <w:sz w:val="18"/>
          <w:szCs w:val="18"/>
          <w:u w:val="single"/>
          <w:lang w:eastAsia="fr-FR"/>
        </w:rPr>
        <w:t>IDENTIFICATION DES PARTICIPANTS</w:t>
      </w:r>
    </w:p>
    <w:p w:rsidR="00B23035" w:rsidRPr="00C11C45" w:rsidRDefault="00B23035" w:rsidP="00B23035">
      <w:pPr>
        <w:spacing w:after="0" w:line="240" w:lineRule="auto"/>
        <w:rPr>
          <w:rFonts w:ascii="Garamond" w:eastAsia="Times New Roman" w:hAnsi="Garamond" w:cs="Tahoma"/>
          <w:b/>
          <w:bCs/>
          <w:sz w:val="14"/>
          <w:szCs w:val="20"/>
          <w:lang w:eastAsia="fr-F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379"/>
        <w:gridCol w:w="1639"/>
        <w:gridCol w:w="2556"/>
        <w:gridCol w:w="1771"/>
      </w:tblGrid>
      <w:tr w:rsidR="00B23035" w:rsidRPr="00C11C45" w:rsidTr="004620E1">
        <w:trPr>
          <w:cantSplit/>
        </w:trPr>
        <w:tc>
          <w:tcPr>
            <w:tcW w:w="0" w:type="auto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</w:pPr>
            <w:r w:rsidRPr="00C11C45"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3379" w:type="dxa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</w:pPr>
            <w:r w:rsidRPr="00C11C45"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  <w:t>Nom (s) et   Prénom(s)</w:t>
            </w:r>
          </w:p>
        </w:tc>
        <w:tc>
          <w:tcPr>
            <w:tcW w:w="1639" w:type="dxa"/>
          </w:tcPr>
          <w:p w:rsidR="00B23035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  <w:t>Contacts</w:t>
            </w:r>
          </w:p>
        </w:tc>
        <w:tc>
          <w:tcPr>
            <w:tcW w:w="2556" w:type="dxa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</w:pPr>
            <w:r w:rsidRPr="00C11C45"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  <w:t>Fonction </w:t>
            </w:r>
          </w:p>
        </w:tc>
        <w:tc>
          <w:tcPr>
            <w:tcW w:w="1771" w:type="dxa"/>
          </w:tcPr>
          <w:p w:rsidR="00B23035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sz w:val="18"/>
                <w:szCs w:val="18"/>
                <w:lang w:eastAsia="fr-FR"/>
              </w:rPr>
              <w:t>Montant</w:t>
            </w:r>
          </w:p>
        </w:tc>
      </w:tr>
      <w:tr w:rsidR="00B23035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 w:rsidRPr="00C11C45">
              <w:rPr>
                <w:rFonts w:ascii="Garamond" w:eastAsia="Times New Roman" w:hAnsi="Garamond" w:cs="Tahoma"/>
                <w:b/>
                <w:bCs/>
                <w:lang w:eastAsia="fr-FR"/>
              </w:rPr>
              <w:t>1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55111C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2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55111C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3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55111C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4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55111C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5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5111C" w:rsidRPr="00C11C45" w:rsidRDefault="0055111C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4620E1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4620E1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6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4620E1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4620E1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620E1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4620E1" w:rsidRPr="00C11C45" w:rsidRDefault="004620E1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6151CE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6151CE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7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6151CE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6151CE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8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6151CE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6151CE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9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6151CE" w:rsidRPr="00C11C45" w:rsidTr="004620E1">
        <w:trPr>
          <w:cantSplit/>
          <w:trHeight w:val="391"/>
        </w:trPr>
        <w:tc>
          <w:tcPr>
            <w:tcW w:w="0" w:type="auto"/>
            <w:tcBorders>
              <w:bottom w:val="single" w:sz="4" w:space="0" w:color="auto"/>
            </w:tcBorders>
          </w:tcPr>
          <w:p w:rsidR="006151CE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lang w:eastAsia="fr-FR"/>
              </w:rPr>
              <w:t>10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6151CE" w:rsidRPr="00C11C45" w:rsidRDefault="006151CE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B23035" w:rsidRPr="00C11C45" w:rsidTr="004620E1">
        <w:trPr>
          <w:cantSplit/>
          <w:trHeight w:val="282"/>
        </w:trPr>
        <w:tc>
          <w:tcPr>
            <w:tcW w:w="5382" w:type="dxa"/>
            <w:gridSpan w:val="3"/>
            <w:vMerge w:val="restart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</w:tcPr>
          <w:p w:rsidR="00B23035" w:rsidRPr="00C11C45" w:rsidRDefault="004542F2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  <w:t>MONTANT TOTAL</w:t>
            </w:r>
          </w:p>
        </w:tc>
        <w:tc>
          <w:tcPr>
            <w:tcW w:w="1771" w:type="dxa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B23035" w:rsidRPr="00C11C45" w:rsidTr="004620E1">
        <w:trPr>
          <w:cantSplit/>
          <w:trHeight w:val="282"/>
        </w:trPr>
        <w:tc>
          <w:tcPr>
            <w:tcW w:w="5382" w:type="dxa"/>
            <w:gridSpan w:val="3"/>
            <w:vMerge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</w:tcPr>
          <w:p w:rsidR="00B23035" w:rsidRPr="00C11C45" w:rsidRDefault="00A91F9F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  <w:t>TVA 18%</w:t>
            </w:r>
          </w:p>
        </w:tc>
        <w:tc>
          <w:tcPr>
            <w:tcW w:w="1771" w:type="dxa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  <w:tr w:rsidR="00B23035" w:rsidRPr="00C11C45" w:rsidTr="004620E1">
        <w:trPr>
          <w:cantSplit/>
          <w:trHeight w:val="282"/>
        </w:trPr>
        <w:tc>
          <w:tcPr>
            <w:tcW w:w="5382" w:type="dxa"/>
            <w:gridSpan w:val="3"/>
            <w:vMerge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  <w:tc>
          <w:tcPr>
            <w:tcW w:w="2556" w:type="dxa"/>
          </w:tcPr>
          <w:p w:rsidR="00B23035" w:rsidRPr="00C11C45" w:rsidRDefault="004542F2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  <w:r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  <w:t>NAP</w:t>
            </w:r>
          </w:p>
        </w:tc>
        <w:tc>
          <w:tcPr>
            <w:tcW w:w="1771" w:type="dxa"/>
          </w:tcPr>
          <w:p w:rsidR="00B23035" w:rsidRPr="00C11C45" w:rsidRDefault="00B23035" w:rsidP="005C5107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sz w:val="14"/>
                <w:szCs w:val="20"/>
                <w:lang w:eastAsia="fr-FR"/>
              </w:rPr>
            </w:pPr>
          </w:p>
        </w:tc>
      </w:tr>
    </w:tbl>
    <w:p w:rsidR="00B23035" w:rsidRPr="00C11C45" w:rsidRDefault="00B23035" w:rsidP="00B23035">
      <w:pPr>
        <w:spacing w:after="0" w:line="240" w:lineRule="auto"/>
        <w:rPr>
          <w:rFonts w:ascii="Garamond" w:eastAsia="Times New Roman" w:hAnsi="Garamond" w:cs="Tahoma"/>
          <w:b/>
          <w:bCs/>
          <w:sz w:val="14"/>
          <w:szCs w:val="20"/>
          <w:lang w:eastAsia="fr-FR"/>
        </w:rPr>
      </w:pPr>
    </w:p>
    <w:p w:rsidR="0055111C" w:rsidRPr="0055111C" w:rsidRDefault="0055111C" w:rsidP="00B319CE">
      <w:pPr>
        <w:spacing w:after="0" w:line="360" w:lineRule="auto"/>
        <w:rPr>
          <w:rFonts w:ascii="Tahoma" w:eastAsia="Times New Roman" w:hAnsi="Tahoma" w:cs="Tahoma"/>
          <w:b/>
          <w:bCs/>
          <w:sz w:val="16"/>
          <w:szCs w:val="16"/>
          <w:u w:val="single"/>
          <w:lang w:eastAsia="fr-FR"/>
        </w:rPr>
      </w:pPr>
      <w:r w:rsidRPr="0055111C">
        <w:rPr>
          <w:rFonts w:ascii="Tahoma" w:eastAsia="Times New Roman" w:hAnsi="Tahoma" w:cs="Tahoma"/>
          <w:b/>
          <w:bCs/>
          <w:sz w:val="16"/>
          <w:szCs w:val="16"/>
          <w:u w:val="single"/>
          <w:lang w:eastAsia="fr-FR"/>
        </w:rPr>
        <w:t>CONDITIONS GENERALES</w:t>
      </w:r>
    </w:p>
    <w:p w:rsidR="000D7DBA" w:rsidRPr="00715A7D" w:rsidRDefault="0055111C" w:rsidP="0055111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ahoma"/>
          <w:bCs/>
          <w:sz w:val="18"/>
          <w:szCs w:val="18"/>
          <w:lang w:eastAsia="fr-FR"/>
        </w:rPr>
      </w:pP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Frais de pa</w:t>
      </w:r>
      <w:r w:rsidR="00945D64">
        <w:rPr>
          <w:rFonts w:ascii="Garamond" w:eastAsia="Times New Roman" w:hAnsi="Garamond" w:cs="Tahoma"/>
          <w:bCs/>
          <w:sz w:val="18"/>
          <w:szCs w:val="18"/>
          <w:lang w:eastAsia="fr-FR"/>
        </w:rPr>
        <w:t>rticipation à</w:t>
      </w:r>
      <w:r w:rsidR="00A91F9F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 la formation : 350 000F CFA/personne HT. Règlement 100%, au plus tard 7</w:t>
      </w: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 jours avant la formation </w:t>
      </w:r>
      <w:r w:rsidR="00AD7BF1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et </w:t>
      </w: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comprennent les pauses café, les déjeuners et la documentation.</w:t>
      </w:r>
    </w:p>
    <w:p w:rsidR="000D7DBA" w:rsidRPr="00715A7D" w:rsidRDefault="000D7DBA" w:rsidP="0055111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ahoma"/>
          <w:bCs/>
          <w:sz w:val="18"/>
          <w:szCs w:val="18"/>
          <w:lang w:eastAsia="fr-FR"/>
        </w:rPr>
      </w:pP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La participation à la formation n’est valable qu’</w:t>
      </w:r>
      <w:r w:rsidR="004620E1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après le r</w:t>
      </w: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etour du bulletin de participation</w:t>
      </w:r>
      <w:r w:rsidR="004620E1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 dûment signé et accompagné du règlement ;</w:t>
      </w:r>
    </w:p>
    <w:p w:rsidR="00B319CE" w:rsidRPr="00715A7D" w:rsidRDefault="00B319CE" w:rsidP="0055111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ahoma"/>
          <w:bCs/>
          <w:sz w:val="18"/>
          <w:szCs w:val="18"/>
          <w:lang w:eastAsia="fr-FR"/>
        </w:rPr>
      </w:pP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Toute</w:t>
      </w:r>
      <w:r w:rsidR="000D7DBA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 annulation par un participant </w:t>
      </w: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doit être déclarée au plus tard 5 jours avant la date du séminaire</w:t>
      </w:r>
      <w:r w:rsidR="003E2D52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 xml:space="preserve">, au cas contraire aucun remboursement ne pourra être </w:t>
      </w:r>
      <w:r w:rsidR="0055111C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effectué.</w:t>
      </w:r>
    </w:p>
    <w:p w:rsidR="0055111C" w:rsidRPr="00715A7D" w:rsidRDefault="0055111C" w:rsidP="0055111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ahoma"/>
          <w:bCs/>
          <w:sz w:val="18"/>
          <w:szCs w:val="18"/>
          <w:lang w:eastAsia="fr-FR"/>
        </w:rPr>
      </w:pP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Le cabinet se réserve la possibilité d’annuler une session de formation ou la reporter, en cas d’insuffisance d’inscriptions ou en cas de force majeur</w:t>
      </w:r>
      <w:r w:rsidR="00AD7BF1"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e</w:t>
      </w:r>
      <w:r w:rsidRPr="00715A7D">
        <w:rPr>
          <w:rFonts w:ascii="Garamond" w:eastAsia="Times New Roman" w:hAnsi="Garamond" w:cs="Tahoma"/>
          <w:bCs/>
          <w:sz w:val="18"/>
          <w:szCs w:val="18"/>
          <w:lang w:eastAsia="fr-FR"/>
        </w:rPr>
        <w:t>.</w:t>
      </w:r>
    </w:p>
    <w:p w:rsidR="004620E1" w:rsidRDefault="006151CE" w:rsidP="004620E1">
      <w:pPr>
        <w:pStyle w:val="Paragraphedeliste"/>
        <w:spacing w:after="0" w:line="360" w:lineRule="auto"/>
        <w:jc w:val="both"/>
        <w:rPr>
          <w:rFonts w:ascii="Garamond" w:eastAsia="Times New Roman" w:hAnsi="Garamond" w:cs="Tahoma"/>
          <w:bCs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41910</wp:posOffset>
                </wp:positionV>
                <wp:extent cx="2743200" cy="1200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1C" w:rsidRDefault="0055111C" w:rsidP="0055111C">
                            <w:pPr>
                              <w:spacing w:after="0" w:line="360" w:lineRule="auto"/>
                              <w:jc w:val="center"/>
                              <w:rPr>
                                <w:rFonts w:ascii="Garamond" w:eastAsia="Times New Roman" w:hAnsi="Garamond" w:cs="Tahoma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C11C45">
                              <w:rPr>
                                <w:rFonts w:ascii="Garamond" w:eastAsia="Times New Roman" w:hAnsi="Garamond" w:cs="Tahoma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>(Signature et cachet de l’organisation)</w:t>
                            </w:r>
                          </w:p>
                          <w:p w:rsidR="0055111C" w:rsidRPr="00C11C45" w:rsidRDefault="0055111C" w:rsidP="0055111C">
                            <w:pPr>
                              <w:spacing w:after="0" w:line="360" w:lineRule="auto"/>
                              <w:jc w:val="center"/>
                              <w:rPr>
                                <w:rFonts w:ascii="Garamond" w:eastAsia="Times New Roman" w:hAnsi="Garamond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</w:p>
                          <w:p w:rsidR="0055111C" w:rsidRDefault="0055111C" w:rsidP="00551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0.95pt;margin-top:3.3pt;width:3in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" fillcolor="white [3201]" strokecolor="#5b9bd5 [3204]" strokeweight="1pt">
                <v:textbox>
                  <w:txbxContent>
                    <w:p w:rsidR="0055111C" w:rsidRDefault="0055111C" w:rsidP="0055111C">
                      <w:pPr>
                        <w:spacing w:after="0" w:line="360" w:lineRule="auto"/>
                        <w:jc w:val="center"/>
                        <w:rPr>
                          <w:rFonts w:ascii="Garamond" w:eastAsia="Times New Roman" w:hAnsi="Garamond" w:cs="Tahoma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 w:rsidRPr="00C11C45">
                        <w:rPr>
                          <w:rFonts w:ascii="Garamond" w:eastAsia="Times New Roman" w:hAnsi="Garamond" w:cs="Tahoma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>(Signature et cachet de l’organisation)</w:t>
                      </w:r>
                    </w:p>
                    <w:p w:rsidR="0055111C" w:rsidRPr="00C11C45" w:rsidRDefault="0055111C" w:rsidP="0055111C">
                      <w:pPr>
                        <w:spacing w:after="0" w:line="360" w:lineRule="auto"/>
                        <w:jc w:val="center"/>
                        <w:rPr>
                          <w:rFonts w:ascii="Garamond" w:eastAsia="Times New Roman" w:hAnsi="Garamond" w:cs="Tahoma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</w:p>
                    <w:p w:rsidR="0055111C" w:rsidRDefault="0055111C" w:rsidP="00551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51CE" w:rsidRDefault="006151CE" w:rsidP="006151CE">
      <w:pPr>
        <w:spacing w:after="0" w:line="360" w:lineRule="auto"/>
        <w:rPr>
          <w:rFonts w:ascii="Tahoma" w:eastAsia="Times New Roman" w:hAnsi="Tahoma" w:cs="Tahoma"/>
          <w:b/>
          <w:bCs/>
          <w:sz w:val="16"/>
          <w:szCs w:val="16"/>
          <w:lang w:eastAsia="fr-FR"/>
        </w:rPr>
      </w:pPr>
      <w:r>
        <w:rPr>
          <w:rFonts w:ascii="Tahoma" w:eastAsia="Times New Roman" w:hAnsi="Tahoma" w:cs="Tahoma"/>
          <w:b/>
          <w:bCs/>
          <w:sz w:val="16"/>
          <w:szCs w:val="16"/>
          <w:u w:val="single"/>
          <w:lang w:eastAsia="fr-FR"/>
        </w:rPr>
        <w:t>C</w:t>
      </w:r>
      <w:r w:rsidRPr="003D5613">
        <w:rPr>
          <w:rFonts w:ascii="Tahoma" w:eastAsia="Times New Roman" w:hAnsi="Tahoma" w:cs="Tahoma"/>
          <w:b/>
          <w:bCs/>
          <w:sz w:val="16"/>
          <w:szCs w:val="16"/>
          <w:u w:val="single"/>
          <w:lang w:eastAsia="fr-FR"/>
        </w:rPr>
        <w:t>ONTACT DU CABINET</w:t>
      </w:r>
      <w:r w:rsidRPr="001A2370"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 : </w:t>
      </w:r>
      <w:r w:rsidR="00A91F9F"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  06 39 78 19 (M. Darel</w:t>
      </w:r>
      <w:r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>)</w:t>
      </w:r>
    </w:p>
    <w:p w:rsidR="006151CE" w:rsidRDefault="006151CE" w:rsidP="006151CE">
      <w:pPr>
        <w:spacing w:after="0" w:line="360" w:lineRule="auto"/>
        <w:rPr>
          <w:rFonts w:ascii="Tahoma" w:eastAsia="Times New Roman" w:hAnsi="Tahoma" w:cs="Tahoma"/>
          <w:b/>
          <w:bCs/>
          <w:sz w:val="16"/>
          <w:szCs w:val="16"/>
          <w:lang w:eastAsia="fr-FR"/>
        </w:rPr>
      </w:pPr>
      <w:r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                                           </w:t>
      </w:r>
      <w:r w:rsidRPr="003D5613"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 </w:t>
      </w:r>
    </w:p>
    <w:p w:rsidR="006151CE" w:rsidRDefault="006151CE" w:rsidP="006151CE">
      <w:pPr>
        <w:spacing w:after="0" w:line="360" w:lineRule="auto"/>
        <w:rPr>
          <w:rFonts w:ascii="Tahoma" w:eastAsia="Times New Roman" w:hAnsi="Tahoma" w:cs="Tahoma"/>
          <w:b/>
          <w:bCs/>
          <w:sz w:val="16"/>
          <w:szCs w:val="16"/>
          <w:lang w:eastAsia="fr-FR"/>
        </w:rPr>
      </w:pPr>
      <w:r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Information disponible sur notre site internet : </w:t>
      </w:r>
    </w:p>
    <w:p w:rsidR="006151CE" w:rsidRDefault="006151CE" w:rsidP="006151CE">
      <w:pPr>
        <w:spacing w:after="0" w:line="360" w:lineRule="auto"/>
      </w:pPr>
      <w:r>
        <w:rPr>
          <w:rFonts w:ascii="Tahoma" w:eastAsia="Times New Roman" w:hAnsi="Tahoma" w:cs="Tahoma"/>
          <w:b/>
          <w:bCs/>
          <w:sz w:val="16"/>
          <w:szCs w:val="16"/>
          <w:lang w:eastAsia="fr-FR"/>
        </w:rPr>
        <w:t xml:space="preserve">                      www.caudexco.com</w:t>
      </w:r>
    </w:p>
    <w:sectPr w:rsidR="006151CE" w:rsidSect="0087397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01" w:rsidRDefault="00250E01" w:rsidP="00047FC9">
      <w:pPr>
        <w:spacing w:after="0" w:line="240" w:lineRule="auto"/>
      </w:pPr>
      <w:r>
        <w:separator/>
      </w:r>
    </w:p>
  </w:endnote>
  <w:endnote w:type="continuationSeparator" w:id="0">
    <w:p w:rsidR="00250E01" w:rsidRDefault="00250E01" w:rsidP="000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01" w:rsidRDefault="00250E01" w:rsidP="00047FC9">
      <w:pPr>
        <w:spacing w:after="0" w:line="240" w:lineRule="auto"/>
      </w:pPr>
      <w:r>
        <w:separator/>
      </w:r>
    </w:p>
  </w:footnote>
  <w:footnote w:type="continuationSeparator" w:id="0">
    <w:p w:rsidR="00250E01" w:rsidRDefault="00250E01" w:rsidP="0004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686"/>
    <w:multiLevelType w:val="hybridMultilevel"/>
    <w:tmpl w:val="578890A2"/>
    <w:lvl w:ilvl="0" w:tplc="75D042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4FA"/>
    <w:multiLevelType w:val="hybridMultilevel"/>
    <w:tmpl w:val="6D1A0694"/>
    <w:lvl w:ilvl="0" w:tplc="E5381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4A6B"/>
    <w:multiLevelType w:val="hybridMultilevel"/>
    <w:tmpl w:val="41A4C2D4"/>
    <w:lvl w:ilvl="0" w:tplc="45D43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C2"/>
    <w:rsid w:val="00006B8C"/>
    <w:rsid w:val="00007E6A"/>
    <w:rsid w:val="00037DE1"/>
    <w:rsid w:val="00047FC9"/>
    <w:rsid w:val="000871D8"/>
    <w:rsid w:val="000A667D"/>
    <w:rsid w:val="000D7DBA"/>
    <w:rsid w:val="001559A8"/>
    <w:rsid w:val="001739AF"/>
    <w:rsid w:val="00183C33"/>
    <w:rsid w:val="001A2370"/>
    <w:rsid w:val="002208F4"/>
    <w:rsid w:val="00235D87"/>
    <w:rsid w:val="00250E01"/>
    <w:rsid w:val="00284671"/>
    <w:rsid w:val="002A13CA"/>
    <w:rsid w:val="002F534C"/>
    <w:rsid w:val="00317003"/>
    <w:rsid w:val="00340313"/>
    <w:rsid w:val="00356C58"/>
    <w:rsid w:val="003B108D"/>
    <w:rsid w:val="003C7713"/>
    <w:rsid w:val="003D5613"/>
    <w:rsid w:val="003E2D52"/>
    <w:rsid w:val="00434555"/>
    <w:rsid w:val="004542F2"/>
    <w:rsid w:val="004579C2"/>
    <w:rsid w:val="004620E1"/>
    <w:rsid w:val="004A189D"/>
    <w:rsid w:val="005376C9"/>
    <w:rsid w:val="00544A4C"/>
    <w:rsid w:val="0055111C"/>
    <w:rsid w:val="005E3DDB"/>
    <w:rsid w:val="005F2A08"/>
    <w:rsid w:val="00602F92"/>
    <w:rsid w:val="006151CE"/>
    <w:rsid w:val="00657937"/>
    <w:rsid w:val="0066677E"/>
    <w:rsid w:val="006D6511"/>
    <w:rsid w:val="006E4CA4"/>
    <w:rsid w:val="006E4EF6"/>
    <w:rsid w:val="00715A7D"/>
    <w:rsid w:val="007246A0"/>
    <w:rsid w:val="00761741"/>
    <w:rsid w:val="007C7178"/>
    <w:rsid w:val="007C7C5C"/>
    <w:rsid w:val="007E7EAE"/>
    <w:rsid w:val="007F3A35"/>
    <w:rsid w:val="008167EE"/>
    <w:rsid w:val="00861E3E"/>
    <w:rsid w:val="0087397A"/>
    <w:rsid w:val="00887162"/>
    <w:rsid w:val="00945D64"/>
    <w:rsid w:val="00987D47"/>
    <w:rsid w:val="009D222B"/>
    <w:rsid w:val="00A672AE"/>
    <w:rsid w:val="00A91F9F"/>
    <w:rsid w:val="00A96F9C"/>
    <w:rsid w:val="00AB2E17"/>
    <w:rsid w:val="00AD7BF1"/>
    <w:rsid w:val="00B23035"/>
    <w:rsid w:val="00B319CE"/>
    <w:rsid w:val="00BA6ADC"/>
    <w:rsid w:val="00C2096B"/>
    <w:rsid w:val="00C979A9"/>
    <w:rsid w:val="00CE371D"/>
    <w:rsid w:val="00D371A0"/>
    <w:rsid w:val="00D620F6"/>
    <w:rsid w:val="00DD5493"/>
    <w:rsid w:val="00EB235D"/>
    <w:rsid w:val="00F76A46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FA972-A077-4092-AB92-0F79A768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0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4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FC9"/>
  </w:style>
  <w:style w:type="paragraph" w:styleId="Pieddepage">
    <w:name w:val="footer"/>
    <w:basedOn w:val="Normal"/>
    <w:link w:val="PieddepageCar"/>
    <w:uiPriority w:val="99"/>
    <w:unhideWhenUsed/>
    <w:rsid w:val="000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4366</Characters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2017-09-15T07:08:00Z</cp:lastPrinted>
  <dcterms:created xsi:type="dcterms:W3CDTF">2017-11-14T15:12:00Z</dcterms:created>
  <dcterms:modified xsi:type="dcterms:W3CDTF">2017-11-14T15:12:00Z</dcterms:modified>
</cp:coreProperties>
</file>